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88F8" w14:textId="77777777" w:rsidR="00EA0815" w:rsidRDefault="00EA0815" w:rsidP="00EA0815">
      <w:pPr>
        <w:spacing w:afterLines="50" w:after="156" w:line="240" w:lineRule="auto"/>
        <w:jc w:val="both"/>
        <w:rPr>
          <w:rFonts w:ascii="Times New Roman" w:hAnsi="Times New Roman" w:cs="Times New Roman"/>
          <w:sz w:val="21"/>
          <w:szCs w:val="21"/>
        </w:rPr>
      </w:pPr>
      <w:r>
        <w:rPr>
          <w:noProof/>
        </w:rPr>
        <w:drawing>
          <wp:inline distT="0" distB="0" distL="0" distR="0" wp14:anchorId="369BEF16" wp14:editId="172FE62D">
            <wp:extent cx="5274310" cy="1695450"/>
            <wp:effectExtent l="0" t="0" r="2540" b="0"/>
            <wp:docPr id="12033254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1695450"/>
                    </a:xfrm>
                    <a:prstGeom prst="rect">
                      <a:avLst/>
                    </a:prstGeom>
                    <a:noFill/>
                    <a:ln>
                      <a:noFill/>
                    </a:ln>
                  </pic:spPr>
                </pic:pic>
              </a:graphicData>
            </a:graphic>
          </wp:inline>
        </w:drawing>
      </w:r>
    </w:p>
    <w:p w14:paraId="4D6F9D3C" w14:textId="6C193ACF" w:rsidR="00EA0815" w:rsidRPr="000E706F" w:rsidRDefault="00EA0815" w:rsidP="00EA0815">
      <w:pPr>
        <w:spacing w:afterLines="50" w:after="156" w:line="240" w:lineRule="auto"/>
        <w:jc w:val="both"/>
        <w:rPr>
          <w:rFonts w:ascii="Times New Roman" w:hAnsi="Times New Roman" w:cs="Times New Roman"/>
          <w:sz w:val="21"/>
          <w:szCs w:val="21"/>
        </w:rPr>
      </w:pPr>
      <w:r w:rsidRPr="000E706F">
        <w:rPr>
          <w:rFonts w:ascii="Times New Roman" w:hAnsi="Times New Roman" w:cs="Times New Roman"/>
          <w:b/>
          <w:bCs/>
          <w:sz w:val="21"/>
          <w:szCs w:val="21"/>
        </w:rPr>
        <w:t>Supplementary Fig</w:t>
      </w:r>
      <w:r w:rsidR="00244244">
        <w:rPr>
          <w:rFonts w:ascii="Times New Roman" w:hAnsi="Times New Roman" w:cs="Times New Roman"/>
          <w:b/>
          <w:bCs/>
          <w:sz w:val="21"/>
          <w:szCs w:val="21"/>
        </w:rPr>
        <w:t>.</w:t>
      </w:r>
      <w:r w:rsidRPr="000E706F">
        <w:rPr>
          <w:rFonts w:ascii="Times New Roman" w:hAnsi="Times New Roman" w:cs="Times New Roman"/>
          <w:b/>
          <w:bCs/>
          <w:sz w:val="21"/>
          <w:szCs w:val="21"/>
        </w:rPr>
        <w:t xml:space="preserve"> 1. FOXM1 and CEP55 are significantly upregulated and positively correlated in HNSCC tissues.</w:t>
      </w:r>
    </w:p>
    <w:p w14:paraId="084FCA75" w14:textId="1BAB32F3" w:rsidR="00EA0815" w:rsidRPr="000E706F" w:rsidRDefault="00EA0815" w:rsidP="00EA0815">
      <w:pPr>
        <w:spacing w:afterLines="50" w:after="156" w:line="240" w:lineRule="auto"/>
        <w:jc w:val="both"/>
        <w:rPr>
          <w:rFonts w:ascii="Times New Roman" w:hAnsi="Times New Roman" w:cs="Times New Roman"/>
          <w:sz w:val="21"/>
          <w:szCs w:val="21"/>
        </w:rPr>
      </w:pPr>
      <w:r w:rsidRPr="000E706F">
        <w:rPr>
          <w:rFonts w:ascii="Times New Roman" w:hAnsi="Times New Roman" w:cs="Times New Roman"/>
          <w:sz w:val="21"/>
          <w:szCs w:val="21"/>
        </w:rPr>
        <w:t>(A</w:t>
      </w:r>
      <w:r>
        <w:rPr>
          <w:rFonts w:ascii="Times New Roman" w:hAnsi="Times New Roman" w:cs="Times New Roman" w:hint="eastAsia"/>
          <w:sz w:val="21"/>
          <w:szCs w:val="21"/>
        </w:rPr>
        <w:t>-</w:t>
      </w:r>
      <w:r w:rsidRPr="000E706F">
        <w:rPr>
          <w:rFonts w:ascii="Times New Roman" w:hAnsi="Times New Roman" w:cs="Times New Roman"/>
          <w:sz w:val="21"/>
          <w:szCs w:val="21"/>
        </w:rPr>
        <w:t>B) Box plots showing the mRNA expression levels (log2[TPM + 1]) of FOXM1 (A) and CEP55 (B) in tumor tissues versus adjacent normal tissues from the TCGA-HNSC dataset. Statistical significance was determined by Wilcoxon rank-sum test</w:t>
      </w:r>
      <w:r>
        <w:rPr>
          <w:rFonts w:ascii="Times New Roman" w:hAnsi="Times New Roman" w:cs="Times New Roman" w:hint="eastAsia"/>
          <w:sz w:val="21"/>
          <w:szCs w:val="21"/>
        </w:rPr>
        <w:t xml:space="preserve"> b</w:t>
      </w:r>
      <w:r w:rsidRPr="00864A2E">
        <w:rPr>
          <w:rFonts w:ascii="Times New Roman" w:hAnsi="Times New Roman" w:cs="Times New Roman"/>
          <w:sz w:val="21"/>
          <w:szCs w:val="21"/>
        </w:rPr>
        <w:t>ecause the TCGA-HNSC expression data did not follow a normal distribution (Shapiro</w:t>
      </w:r>
      <w:r>
        <w:rPr>
          <w:rFonts w:ascii="Times New Roman" w:hAnsi="Times New Roman" w:cs="Times New Roman" w:hint="eastAsia"/>
          <w:sz w:val="21"/>
          <w:szCs w:val="21"/>
        </w:rPr>
        <w:t>-</w:t>
      </w:r>
      <w:r w:rsidRPr="00864A2E">
        <w:rPr>
          <w:rFonts w:ascii="Times New Roman" w:hAnsi="Times New Roman" w:cs="Times New Roman"/>
          <w:sz w:val="21"/>
          <w:szCs w:val="21"/>
        </w:rPr>
        <w:t>Wilk test,</w:t>
      </w:r>
      <w:r>
        <w:rPr>
          <w:rFonts w:ascii="Times New Roman" w:hAnsi="Times New Roman" w:cs="Times New Roman" w:hint="eastAsia"/>
          <w:sz w:val="21"/>
          <w:szCs w:val="21"/>
        </w:rPr>
        <w:t xml:space="preserve"> P</w:t>
      </w:r>
      <w:r w:rsidRPr="00864A2E">
        <w:rPr>
          <w:rFonts w:ascii="Times New Roman" w:hAnsi="Times New Roman" w:cs="Times New Roman"/>
          <w:sz w:val="21"/>
          <w:szCs w:val="21"/>
        </w:rPr>
        <w:t xml:space="preserve"> &lt; 0.001), the non-parametric Wilcoxon rank-sum test was applied</w:t>
      </w:r>
      <w:r w:rsidRPr="000E706F">
        <w:rPr>
          <w:rFonts w:ascii="Times New Roman" w:hAnsi="Times New Roman" w:cs="Times New Roman"/>
          <w:sz w:val="21"/>
          <w:szCs w:val="21"/>
        </w:rPr>
        <w:t>.</w:t>
      </w:r>
      <w:r>
        <w:rPr>
          <w:rFonts w:ascii="Times New Roman" w:hAnsi="Times New Roman" w:cs="Times New Roman" w:hint="eastAsia"/>
          <w:sz w:val="21"/>
          <w:szCs w:val="21"/>
        </w:rPr>
        <w:t xml:space="preserve"> </w:t>
      </w:r>
      <w:r w:rsidRPr="000E706F">
        <w:rPr>
          <w:rFonts w:ascii="Times New Roman" w:hAnsi="Times New Roman" w:cs="Times New Roman"/>
          <w:sz w:val="21"/>
          <w:szCs w:val="21"/>
        </w:rPr>
        <w:t>(C) Scatter plot showing the Spearman correlation between FOXM1 and CEP55 mRNA expression in HNSCC tumor samples. The black line represents the linear regression fit, and the shaded area indicates the 95% confidence interval.</w:t>
      </w:r>
    </w:p>
    <w:p w14:paraId="6E53AADD" w14:textId="77777777" w:rsidR="00EA0815" w:rsidRDefault="00EA0815" w:rsidP="00EA0815">
      <w:pPr>
        <w:spacing w:afterLines="50" w:after="156" w:line="240" w:lineRule="auto"/>
        <w:jc w:val="both"/>
        <w:rPr>
          <w:rFonts w:ascii="Times New Roman" w:hAnsi="Times New Roman" w:cs="Times New Roman"/>
          <w:sz w:val="21"/>
          <w:szCs w:val="21"/>
        </w:rPr>
      </w:pPr>
      <w:r>
        <w:rPr>
          <w:noProof/>
        </w:rPr>
        <w:drawing>
          <wp:inline distT="0" distB="0" distL="0" distR="0" wp14:anchorId="239E1541" wp14:editId="02A22E57">
            <wp:extent cx="5274310" cy="2545080"/>
            <wp:effectExtent l="0" t="0" r="2540" b="7620"/>
            <wp:docPr id="17509426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545080"/>
                    </a:xfrm>
                    <a:prstGeom prst="rect">
                      <a:avLst/>
                    </a:prstGeom>
                    <a:noFill/>
                    <a:ln>
                      <a:noFill/>
                    </a:ln>
                  </pic:spPr>
                </pic:pic>
              </a:graphicData>
            </a:graphic>
          </wp:inline>
        </w:drawing>
      </w:r>
    </w:p>
    <w:p w14:paraId="1ACED45A" w14:textId="76B298EA" w:rsidR="00EA0815" w:rsidRDefault="00EA0815" w:rsidP="00EA0815">
      <w:pPr>
        <w:spacing w:afterLines="50" w:after="156" w:line="240" w:lineRule="auto"/>
        <w:jc w:val="both"/>
        <w:rPr>
          <w:rFonts w:ascii="Times New Roman" w:hAnsi="Times New Roman" w:cs="Times New Roman"/>
          <w:sz w:val="21"/>
          <w:szCs w:val="21"/>
        </w:rPr>
      </w:pPr>
      <w:r w:rsidRPr="00F170D2">
        <w:rPr>
          <w:rFonts w:ascii="Times New Roman" w:hAnsi="Times New Roman" w:cs="Times New Roman"/>
          <w:b/>
          <w:bCs/>
          <w:sz w:val="21"/>
          <w:szCs w:val="21"/>
        </w:rPr>
        <w:t>Supplementary Fig</w:t>
      </w:r>
      <w:r w:rsidR="00244244">
        <w:rPr>
          <w:rFonts w:ascii="Times New Roman" w:hAnsi="Times New Roman" w:cs="Times New Roman"/>
          <w:b/>
          <w:bCs/>
          <w:sz w:val="21"/>
          <w:szCs w:val="21"/>
        </w:rPr>
        <w:t xml:space="preserve">. </w:t>
      </w:r>
      <w:r w:rsidRPr="00F170D2">
        <w:rPr>
          <w:rFonts w:ascii="Times New Roman" w:hAnsi="Times New Roman" w:cs="Times New Roman"/>
          <w:b/>
          <w:bCs/>
          <w:sz w:val="21"/>
          <w:szCs w:val="21"/>
        </w:rPr>
        <w:t>2. Validation of FOXM1 siRNA knockdown efficiency.</w:t>
      </w:r>
    </w:p>
    <w:p w14:paraId="0BB5421C" w14:textId="77777777" w:rsidR="00EA0815" w:rsidRDefault="00EA0815" w:rsidP="00EA0815">
      <w:pPr>
        <w:spacing w:afterLines="50" w:after="156" w:line="240" w:lineRule="auto"/>
        <w:jc w:val="both"/>
        <w:rPr>
          <w:rFonts w:ascii="Times New Roman" w:hAnsi="Times New Roman" w:cs="Times New Roman"/>
          <w:sz w:val="21"/>
          <w:szCs w:val="21"/>
        </w:rPr>
      </w:pPr>
      <w:r>
        <w:rPr>
          <w:rFonts w:ascii="Times New Roman" w:hAnsi="Times New Roman" w:cs="Times New Roman" w:hint="eastAsia"/>
          <w:sz w:val="21"/>
          <w:szCs w:val="21"/>
        </w:rPr>
        <w:t xml:space="preserve">(A-B) </w:t>
      </w:r>
      <w:proofErr w:type="spellStart"/>
      <w:r w:rsidRPr="00807BF3">
        <w:rPr>
          <w:rFonts w:ascii="Times New Roman" w:hAnsi="Times New Roman" w:cs="Times New Roman"/>
          <w:sz w:val="21"/>
          <w:szCs w:val="21"/>
        </w:rPr>
        <w:t>qRT</w:t>
      </w:r>
      <w:proofErr w:type="spellEnd"/>
      <w:r w:rsidRPr="00807BF3">
        <w:rPr>
          <w:rFonts w:ascii="Times New Roman" w:hAnsi="Times New Roman" w:cs="Times New Roman"/>
          <w:sz w:val="21"/>
          <w:szCs w:val="21"/>
        </w:rPr>
        <w:t xml:space="preserve">-PCR analysis of FOXM1 mRNA expression in CAL27 </w:t>
      </w:r>
      <w:r>
        <w:rPr>
          <w:rFonts w:ascii="Times New Roman" w:hAnsi="Times New Roman" w:cs="Times New Roman" w:hint="eastAsia"/>
          <w:sz w:val="21"/>
          <w:szCs w:val="21"/>
        </w:rPr>
        <w:t xml:space="preserve">(A) </w:t>
      </w:r>
      <w:r w:rsidRPr="00807BF3">
        <w:rPr>
          <w:rFonts w:ascii="Times New Roman" w:hAnsi="Times New Roman" w:cs="Times New Roman"/>
          <w:sz w:val="21"/>
          <w:szCs w:val="21"/>
        </w:rPr>
        <w:t xml:space="preserve">and SCC-9 </w:t>
      </w:r>
      <w:r>
        <w:rPr>
          <w:rFonts w:ascii="Times New Roman" w:hAnsi="Times New Roman" w:cs="Times New Roman" w:hint="eastAsia"/>
          <w:sz w:val="21"/>
          <w:szCs w:val="21"/>
        </w:rPr>
        <w:t xml:space="preserve">(B) </w:t>
      </w:r>
      <w:r w:rsidRPr="00807BF3">
        <w:rPr>
          <w:rFonts w:ascii="Times New Roman" w:hAnsi="Times New Roman" w:cs="Times New Roman"/>
          <w:sz w:val="21"/>
          <w:szCs w:val="21"/>
        </w:rPr>
        <w:t xml:space="preserve">cells transfected with </w:t>
      </w:r>
      <w:proofErr w:type="spellStart"/>
      <w:r w:rsidRPr="00807BF3">
        <w:rPr>
          <w:rFonts w:ascii="Times New Roman" w:hAnsi="Times New Roman" w:cs="Times New Roman"/>
          <w:sz w:val="21"/>
          <w:szCs w:val="21"/>
        </w:rPr>
        <w:t>si</w:t>
      </w:r>
      <w:proofErr w:type="spellEnd"/>
      <w:r w:rsidRPr="00807BF3">
        <w:rPr>
          <w:rFonts w:ascii="Times New Roman" w:hAnsi="Times New Roman" w:cs="Times New Roman"/>
          <w:sz w:val="21"/>
          <w:szCs w:val="21"/>
        </w:rPr>
        <w:t xml:space="preserve">-NC, si-FOXM1#1, or si-FOXM1#2 for 48 h. </w:t>
      </w:r>
      <w:r w:rsidRPr="00A63B15">
        <w:rPr>
          <w:rFonts w:ascii="Times New Roman" w:hAnsi="Times New Roman" w:cs="Times New Roman"/>
          <w:sz w:val="21"/>
          <w:szCs w:val="21"/>
        </w:rPr>
        <w:t>Data are presented as mean ± SD with individual data points (n=5)</w:t>
      </w:r>
      <w:r w:rsidRPr="00807BF3">
        <w:rPr>
          <w:rFonts w:ascii="Times New Roman" w:hAnsi="Times New Roman" w:cs="Times New Roman"/>
          <w:sz w:val="21"/>
          <w:szCs w:val="21"/>
        </w:rPr>
        <w:t>. ***P &lt; 0.001.</w:t>
      </w:r>
    </w:p>
    <w:p w14:paraId="43B5F59A" w14:textId="77777777" w:rsidR="00EA0815" w:rsidRDefault="00EA0815" w:rsidP="00EA0815">
      <w:pPr>
        <w:spacing w:afterLines="50" w:after="156" w:line="240" w:lineRule="auto"/>
        <w:jc w:val="both"/>
        <w:rPr>
          <w:rFonts w:ascii="Times New Roman" w:hAnsi="Times New Roman" w:cs="Times New Roman"/>
          <w:sz w:val="21"/>
          <w:szCs w:val="21"/>
        </w:rPr>
      </w:pPr>
    </w:p>
    <w:p w14:paraId="5E5FF8F4" w14:textId="77777777" w:rsidR="00BB7E01" w:rsidRDefault="00BB7E01"/>
    <w:sectPr w:rsidR="00BB7E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82361" w14:textId="77777777" w:rsidR="00C72572" w:rsidRDefault="00C72572" w:rsidP="00244244">
      <w:pPr>
        <w:spacing w:after="0" w:line="240" w:lineRule="auto"/>
      </w:pPr>
      <w:r>
        <w:separator/>
      </w:r>
    </w:p>
  </w:endnote>
  <w:endnote w:type="continuationSeparator" w:id="0">
    <w:p w14:paraId="4EAFAA83" w14:textId="77777777" w:rsidR="00C72572" w:rsidRDefault="00C72572" w:rsidP="0024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7A9E" w14:textId="77777777" w:rsidR="00C72572" w:rsidRDefault="00C72572" w:rsidP="00244244">
      <w:pPr>
        <w:spacing w:after="0" w:line="240" w:lineRule="auto"/>
      </w:pPr>
      <w:r>
        <w:separator/>
      </w:r>
    </w:p>
  </w:footnote>
  <w:footnote w:type="continuationSeparator" w:id="0">
    <w:p w14:paraId="0FB29E3C" w14:textId="77777777" w:rsidR="00C72572" w:rsidRDefault="00C72572" w:rsidP="002442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38"/>
    <w:rsid w:val="000F69EE"/>
    <w:rsid w:val="00244244"/>
    <w:rsid w:val="00890A38"/>
    <w:rsid w:val="00BB7E01"/>
    <w:rsid w:val="00C72572"/>
    <w:rsid w:val="00CA3D39"/>
    <w:rsid w:val="00EA0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E7381"/>
  <w15:chartTrackingRefBased/>
  <w15:docId w15:val="{CD67DA77-CB6D-4978-9731-C166564C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815"/>
    <w:pPr>
      <w:widowControl w:val="0"/>
    </w:pPr>
  </w:style>
  <w:style w:type="paragraph" w:styleId="1">
    <w:name w:val="heading 1"/>
    <w:basedOn w:val="a"/>
    <w:next w:val="a"/>
    <w:link w:val="10"/>
    <w:uiPriority w:val="9"/>
    <w:qFormat/>
    <w:rsid w:val="00890A3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90A3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90A3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90A3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90A3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90A3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90A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0A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0A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0A3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90A3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90A3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90A38"/>
    <w:rPr>
      <w:rFonts w:cstheme="majorBidi"/>
      <w:color w:val="0F4761" w:themeColor="accent1" w:themeShade="BF"/>
      <w:sz w:val="28"/>
      <w:szCs w:val="28"/>
    </w:rPr>
  </w:style>
  <w:style w:type="character" w:customStyle="1" w:styleId="50">
    <w:name w:val="标题 5 字符"/>
    <w:basedOn w:val="a0"/>
    <w:link w:val="5"/>
    <w:uiPriority w:val="9"/>
    <w:semiHidden/>
    <w:rsid w:val="00890A38"/>
    <w:rPr>
      <w:rFonts w:cstheme="majorBidi"/>
      <w:color w:val="0F4761" w:themeColor="accent1" w:themeShade="BF"/>
      <w:sz w:val="24"/>
    </w:rPr>
  </w:style>
  <w:style w:type="character" w:customStyle="1" w:styleId="60">
    <w:name w:val="标题 6 字符"/>
    <w:basedOn w:val="a0"/>
    <w:link w:val="6"/>
    <w:uiPriority w:val="9"/>
    <w:semiHidden/>
    <w:rsid w:val="00890A38"/>
    <w:rPr>
      <w:rFonts w:cstheme="majorBidi"/>
      <w:b/>
      <w:bCs/>
      <w:color w:val="0F4761" w:themeColor="accent1" w:themeShade="BF"/>
    </w:rPr>
  </w:style>
  <w:style w:type="character" w:customStyle="1" w:styleId="70">
    <w:name w:val="标题 7 字符"/>
    <w:basedOn w:val="a0"/>
    <w:link w:val="7"/>
    <w:uiPriority w:val="9"/>
    <w:semiHidden/>
    <w:rsid w:val="00890A38"/>
    <w:rPr>
      <w:rFonts w:cstheme="majorBidi"/>
      <w:b/>
      <w:bCs/>
      <w:color w:val="595959" w:themeColor="text1" w:themeTint="A6"/>
    </w:rPr>
  </w:style>
  <w:style w:type="character" w:customStyle="1" w:styleId="80">
    <w:name w:val="标题 8 字符"/>
    <w:basedOn w:val="a0"/>
    <w:link w:val="8"/>
    <w:uiPriority w:val="9"/>
    <w:semiHidden/>
    <w:rsid w:val="00890A38"/>
    <w:rPr>
      <w:rFonts w:cstheme="majorBidi"/>
      <w:color w:val="595959" w:themeColor="text1" w:themeTint="A6"/>
    </w:rPr>
  </w:style>
  <w:style w:type="character" w:customStyle="1" w:styleId="90">
    <w:name w:val="标题 9 字符"/>
    <w:basedOn w:val="a0"/>
    <w:link w:val="9"/>
    <w:uiPriority w:val="9"/>
    <w:semiHidden/>
    <w:rsid w:val="00890A38"/>
    <w:rPr>
      <w:rFonts w:eastAsiaTheme="majorEastAsia" w:cstheme="majorBidi"/>
      <w:color w:val="595959" w:themeColor="text1" w:themeTint="A6"/>
    </w:rPr>
  </w:style>
  <w:style w:type="paragraph" w:styleId="a3">
    <w:name w:val="Title"/>
    <w:basedOn w:val="a"/>
    <w:next w:val="a"/>
    <w:link w:val="a4"/>
    <w:uiPriority w:val="10"/>
    <w:qFormat/>
    <w:rsid w:val="00890A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0A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A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0A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A38"/>
    <w:pPr>
      <w:spacing w:before="160"/>
      <w:jc w:val="center"/>
    </w:pPr>
    <w:rPr>
      <w:i/>
      <w:iCs/>
      <w:color w:val="404040" w:themeColor="text1" w:themeTint="BF"/>
    </w:rPr>
  </w:style>
  <w:style w:type="character" w:customStyle="1" w:styleId="a8">
    <w:name w:val="引用 字符"/>
    <w:basedOn w:val="a0"/>
    <w:link w:val="a7"/>
    <w:uiPriority w:val="29"/>
    <w:rsid w:val="00890A38"/>
    <w:rPr>
      <w:i/>
      <w:iCs/>
      <w:color w:val="404040" w:themeColor="text1" w:themeTint="BF"/>
    </w:rPr>
  </w:style>
  <w:style w:type="paragraph" w:styleId="a9">
    <w:name w:val="List Paragraph"/>
    <w:basedOn w:val="a"/>
    <w:uiPriority w:val="34"/>
    <w:qFormat/>
    <w:rsid w:val="00890A38"/>
    <w:pPr>
      <w:ind w:left="720"/>
      <w:contextualSpacing/>
    </w:pPr>
  </w:style>
  <w:style w:type="character" w:styleId="aa">
    <w:name w:val="Intense Emphasis"/>
    <w:basedOn w:val="a0"/>
    <w:uiPriority w:val="21"/>
    <w:qFormat/>
    <w:rsid w:val="00890A38"/>
    <w:rPr>
      <w:i/>
      <w:iCs/>
      <w:color w:val="0F4761" w:themeColor="accent1" w:themeShade="BF"/>
    </w:rPr>
  </w:style>
  <w:style w:type="paragraph" w:styleId="ab">
    <w:name w:val="Intense Quote"/>
    <w:basedOn w:val="a"/>
    <w:next w:val="a"/>
    <w:link w:val="ac"/>
    <w:uiPriority w:val="30"/>
    <w:qFormat/>
    <w:rsid w:val="00890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90A38"/>
    <w:rPr>
      <w:i/>
      <w:iCs/>
      <w:color w:val="0F4761" w:themeColor="accent1" w:themeShade="BF"/>
    </w:rPr>
  </w:style>
  <w:style w:type="character" w:styleId="ad">
    <w:name w:val="Intense Reference"/>
    <w:basedOn w:val="a0"/>
    <w:uiPriority w:val="32"/>
    <w:qFormat/>
    <w:rsid w:val="00890A38"/>
    <w:rPr>
      <w:b/>
      <w:bCs/>
      <w:smallCaps/>
      <w:color w:val="0F4761" w:themeColor="accent1" w:themeShade="BF"/>
      <w:spacing w:val="5"/>
    </w:rPr>
  </w:style>
  <w:style w:type="paragraph" w:styleId="ae">
    <w:name w:val="header"/>
    <w:basedOn w:val="a"/>
    <w:link w:val="af"/>
    <w:uiPriority w:val="99"/>
    <w:unhideWhenUsed/>
    <w:rsid w:val="00244244"/>
    <w:pPr>
      <w:pBdr>
        <w:bottom w:val="single" w:sz="6" w:space="1" w:color="auto"/>
      </w:pBd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44244"/>
    <w:rPr>
      <w:sz w:val="18"/>
      <w:szCs w:val="18"/>
    </w:rPr>
  </w:style>
  <w:style w:type="paragraph" w:styleId="af0">
    <w:name w:val="footer"/>
    <w:basedOn w:val="a"/>
    <w:link w:val="af1"/>
    <w:uiPriority w:val="99"/>
    <w:unhideWhenUsed/>
    <w:rsid w:val="0024424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442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Lucia</cp:lastModifiedBy>
  <cp:revision>2</cp:revision>
  <dcterms:created xsi:type="dcterms:W3CDTF">2026-06-05T03:59:00Z</dcterms:created>
  <dcterms:modified xsi:type="dcterms:W3CDTF">2026-06-05T03:59:00Z</dcterms:modified>
</cp:coreProperties>
</file>